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268"/>
        <w:gridCol w:w="5670"/>
      </w:tblGrid>
      <w:tr w:rsidR="00B80677" w:rsidRPr="00B80677" w14:paraId="0DB7E21E"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0E3F0A1" w14:textId="77777777" w:rsidR="00B80677" w:rsidRPr="00B80677" w:rsidRDefault="00B80677" w:rsidP="00B80677">
            <w:pPr>
              <w:pStyle w:val="NoSpacing"/>
              <w:rPr>
                <w14:ligatures w14:val="none"/>
              </w:rPr>
            </w:pPr>
            <w:r w:rsidRPr="00B80677">
              <w:rPr>
                <w14:ligatures w14:val="none"/>
              </w:rPr>
              <w:t>Project ID</w:t>
            </w:r>
          </w:p>
        </w:tc>
        <w:tc>
          <w:tcPr>
            <w:tcW w:w="5670" w:type="dxa"/>
            <w:tcBorders>
              <w:top w:val="nil"/>
              <w:left w:val="nil"/>
              <w:bottom w:val="nil"/>
              <w:right w:val="nil"/>
            </w:tcBorders>
          </w:tcPr>
          <w:p w14:paraId="13931C78" w14:textId="77777777" w:rsidR="00B80677" w:rsidRPr="00B80677" w:rsidRDefault="00B80677" w:rsidP="00B80677">
            <w:pPr>
              <w:pStyle w:val="NoSpacing"/>
              <w:rPr>
                <w14:ligatures w14:val="none"/>
              </w:rPr>
            </w:pPr>
            <w:r w:rsidRPr="00B80677">
              <w:rPr>
                <w14:ligatures w14:val="none"/>
              </w:rPr>
              <w:t xml:space="preserve"> PJ001151</w:t>
            </w:r>
          </w:p>
        </w:tc>
      </w:tr>
      <w:tr w:rsidR="00B80677" w:rsidRPr="00B80677" w14:paraId="5BC60603"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26A470D" w14:textId="77777777" w:rsidR="00B80677" w:rsidRPr="00B80677" w:rsidRDefault="00B80677" w:rsidP="00B80677">
            <w:pPr>
              <w:pStyle w:val="NoSpacing"/>
              <w:rPr>
                <w14:ligatures w14:val="none"/>
              </w:rPr>
            </w:pPr>
            <w:r w:rsidRPr="00B80677">
              <w:rPr>
                <w14:ligatures w14:val="none"/>
              </w:rPr>
              <w:t>Project Fiscal Year</w:t>
            </w:r>
          </w:p>
        </w:tc>
        <w:tc>
          <w:tcPr>
            <w:tcW w:w="5670" w:type="dxa"/>
            <w:tcBorders>
              <w:top w:val="nil"/>
              <w:left w:val="nil"/>
              <w:bottom w:val="nil"/>
              <w:right w:val="nil"/>
            </w:tcBorders>
          </w:tcPr>
          <w:p w14:paraId="2234B9BB" w14:textId="77777777" w:rsidR="00B80677" w:rsidRPr="00B80677" w:rsidRDefault="00B80677" w:rsidP="00B80677">
            <w:pPr>
              <w:pStyle w:val="NoSpacing"/>
              <w:rPr>
                <w14:ligatures w14:val="none"/>
              </w:rPr>
            </w:pPr>
            <w:r w:rsidRPr="00B80677">
              <w:rPr>
                <w14:ligatures w14:val="none"/>
              </w:rPr>
              <w:t>2024-2025</w:t>
            </w:r>
          </w:p>
        </w:tc>
      </w:tr>
      <w:tr w:rsidR="00B80677" w:rsidRPr="00B80677" w14:paraId="3EBE9B86"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6E17B14" w14:textId="77777777" w:rsidR="00B80677" w:rsidRPr="00B80677" w:rsidRDefault="00B80677" w:rsidP="00B80677">
            <w:pPr>
              <w:pStyle w:val="NoSpacing"/>
              <w:rPr>
                <w14:ligatures w14:val="none"/>
              </w:rPr>
            </w:pPr>
            <w:r w:rsidRPr="00B80677">
              <w:rPr>
                <w14:ligatures w14:val="none"/>
              </w:rPr>
              <w:t>College/Department/Unit</w:t>
            </w:r>
          </w:p>
        </w:tc>
        <w:tc>
          <w:tcPr>
            <w:tcW w:w="5670" w:type="dxa"/>
            <w:tcBorders>
              <w:top w:val="nil"/>
              <w:left w:val="nil"/>
              <w:bottom w:val="nil"/>
              <w:right w:val="nil"/>
            </w:tcBorders>
          </w:tcPr>
          <w:p w14:paraId="233B8DE0" w14:textId="77777777" w:rsidR="00B80677" w:rsidRPr="00B80677" w:rsidRDefault="00B80677" w:rsidP="00B80677">
            <w:pPr>
              <w:pStyle w:val="NoSpacing"/>
              <w:rPr>
                <w14:ligatures w14:val="none"/>
              </w:rPr>
            </w:pPr>
            <w:r w:rsidRPr="00B80677">
              <w:rPr>
                <w14:ligatures w14:val="none"/>
              </w:rPr>
              <w:t>Department of Oceanography and Coastal Sciences</w:t>
            </w:r>
          </w:p>
        </w:tc>
      </w:tr>
      <w:tr w:rsidR="00B80677" w:rsidRPr="00B80677" w14:paraId="6EF21127"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16132A8" w14:textId="77777777" w:rsidR="00B80677" w:rsidRPr="00B80677" w:rsidRDefault="00B80677" w:rsidP="00B80677">
            <w:pPr>
              <w:pStyle w:val="NoSpacing"/>
              <w:rPr>
                <w14:ligatures w14:val="none"/>
              </w:rPr>
            </w:pPr>
            <w:r w:rsidRPr="00B80677">
              <w:rPr>
                <w14:ligatures w14:val="none"/>
              </w:rPr>
              <w:t>Title of Project</w:t>
            </w:r>
          </w:p>
        </w:tc>
        <w:tc>
          <w:tcPr>
            <w:tcW w:w="5670" w:type="dxa"/>
            <w:tcBorders>
              <w:top w:val="nil"/>
              <w:left w:val="nil"/>
              <w:bottom w:val="nil"/>
              <w:right w:val="nil"/>
            </w:tcBorders>
          </w:tcPr>
          <w:p w14:paraId="78E11BBD" w14:textId="77777777" w:rsidR="00B80677" w:rsidRPr="00B80677" w:rsidRDefault="00B80677" w:rsidP="00B80677">
            <w:pPr>
              <w:pStyle w:val="NoSpacing"/>
              <w:rPr>
                <w14:ligatures w14:val="none"/>
              </w:rPr>
            </w:pPr>
            <w:r w:rsidRPr="00B80677">
              <w:rPr>
                <w14:ligatures w14:val="none"/>
              </w:rPr>
              <w:t>Ageing Fish</w:t>
            </w:r>
          </w:p>
        </w:tc>
      </w:tr>
      <w:tr w:rsidR="00B80677" w:rsidRPr="00B80677" w14:paraId="110C8F93"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788E9CC" w14:textId="77777777" w:rsidR="00B80677" w:rsidRPr="00B80677" w:rsidRDefault="00B80677" w:rsidP="00B80677">
            <w:pPr>
              <w:pStyle w:val="NoSpacing"/>
              <w:rPr>
                <w14:ligatures w14:val="none"/>
              </w:rPr>
            </w:pPr>
            <w:r w:rsidRPr="00B80677">
              <w:rPr>
                <w14:ligatures w14:val="none"/>
              </w:rPr>
              <w:t>Name of Principle Implementor</w:t>
            </w:r>
          </w:p>
        </w:tc>
        <w:tc>
          <w:tcPr>
            <w:tcW w:w="5670" w:type="dxa"/>
            <w:tcBorders>
              <w:top w:val="nil"/>
              <w:left w:val="nil"/>
              <w:bottom w:val="nil"/>
              <w:right w:val="nil"/>
            </w:tcBorders>
          </w:tcPr>
          <w:p w14:paraId="3A7E0EDA" w14:textId="77777777" w:rsidR="00B80677" w:rsidRPr="00B80677" w:rsidRDefault="00B80677" w:rsidP="00B80677">
            <w:pPr>
              <w:pStyle w:val="NoSpacing"/>
              <w:rPr>
                <w14:ligatures w14:val="none"/>
              </w:rPr>
            </w:pPr>
            <w:r w:rsidRPr="00B80677">
              <w:rPr>
                <w14:ligatures w14:val="none"/>
              </w:rPr>
              <w:t>Stephen Midway</w:t>
            </w:r>
          </w:p>
        </w:tc>
      </w:tr>
      <w:tr w:rsidR="00B80677" w:rsidRPr="00B80677" w14:paraId="405A5BC1"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9ECADBB" w14:textId="77777777" w:rsidR="00B80677" w:rsidRPr="00B80677" w:rsidRDefault="00B80677" w:rsidP="00B80677">
            <w:pPr>
              <w:pStyle w:val="NoSpacing"/>
              <w:rPr>
                <w14:ligatures w14:val="none"/>
              </w:rPr>
            </w:pPr>
            <w:r w:rsidRPr="00B80677">
              <w:rPr>
                <w14:ligatures w14:val="none"/>
              </w:rPr>
              <w:t>Email</w:t>
            </w:r>
          </w:p>
        </w:tc>
        <w:tc>
          <w:tcPr>
            <w:tcW w:w="5670" w:type="dxa"/>
            <w:tcBorders>
              <w:top w:val="nil"/>
              <w:left w:val="nil"/>
              <w:bottom w:val="nil"/>
              <w:right w:val="nil"/>
            </w:tcBorders>
          </w:tcPr>
          <w:p w14:paraId="77D1A2AA" w14:textId="77777777" w:rsidR="00B80677" w:rsidRPr="00B80677" w:rsidRDefault="00B80677" w:rsidP="00B80677">
            <w:pPr>
              <w:pStyle w:val="NoSpacing"/>
              <w:rPr>
                <w14:ligatures w14:val="none"/>
              </w:rPr>
            </w:pPr>
            <w:r w:rsidRPr="00B80677">
              <w:rPr>
                <w14:ligatures w14:val="none"/>
              </w:rPr>
              <w:t>smidway@lsu.edu</w:t>
            </w:r>
          </w:p>
        </w:tc>
      </w:tr>
      <w:tr w:rsidR="00B80677" w:rsidRPr="00B80677" w14:paraId="2A920E63"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57EC8A9" w14:textId="77777777" w:rsidR="00B80677" w:rsidRPr="00B80677" w:rsidRDefault="00B80677" w:rsidP="00B80677">
            <w:pPr>
              <w:pStyle w:val="NoSpacing"/>
              <w:rPr>
                <w14:ligatures w14:val="none"/>
              </w:rPr>
            </w:pPr>
            <w:r w:rsidRPr="00B80677">
              <w:rPr>
                <w14:ligatures w14:val="none"/>
              </w:rPr>
              <w:t>Phone Number</w:t>
            </w:r>
          </w:p>
        </w:tc>
        <w:tc>
          <w:tcPr>
            <w:tcW w:w="5670" w:type="dxa"/>
            <w:tcBorders>
              <w:top w:val="nil"/>
              <w:left w:val="nil"/>
              <w:bottom w:val="nil"/>
              <w:right w:val="nil"/>
            </w:tcBorders>
          </w:tcPr>
          <w:p w14:paraId="4BE4FB86" w14:textId="77777777" w:rsidR="00B80677" w:rsidRPr="00B80677" w:rsidRDefault="00B80677" w:rsidP="00B80677">
            <w:pPr>
              <w:pStyle w:val="NoSpacing"/>
              <w:rPr>
                <w14:ligatures w14:val="none"/>
              </w:rPr>
            </w:pPr>
            <w:r w:rsidRPr="00B80677">
              <w:rPr>
                <w14:ligatures w14:val="none"/>
              </w:rPr>
              <w:t>(225) 578-6458</w:t>
            </w:r>
          </w:p>
        </w:tc>
      </w:tr>
      <w:tr w:rsidR="00B80677" w:rsidRPr="00B80677" w14:paraId="487F6E3D"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03EA31D" w14:textId="77777777" w:rsidR="00B80677" w:rsidRPr="00B80677" w:rsidRDefault="00B80677" w:rsidP="00B80677">
            <w:pPr>
              <w:pStyle w:val="NoSpacing"/>
              <w:rPr>
                <w14:ligatures w14:val="none"/>
              </w:rPr>
            </w:pPr>
            <w:r w:rsidRPr="00B80677">
              <w:rPr>
                <w14:ligatures w14:val="none"/>
              </w:rPr>
              <w:t>Is this project complete?</w:t>
            </w:r>
          </w:p>
        </w:tc>
        <w:tc>
          <w:tcPr>
            <w:tcW w:w="5670" w:type="dxa"/>
            <w:tcBorders>
              <w:top w:val="nil"/>
              <w:left w:val="nil"/>
              <w:bottom w:val="nil"/>
              <w:right w:val="nil"/>
            </w:tcBorders>
          </w:tcPr>
          <w:p w14:paraId="3E045D63" w14:textId="77777777" w:rsidR="00B80677" w:rsidRPr="00B80677" w:rsidRDefault="00B80677" w:rsidP="00B80677">
            <w:pPr>
              <w:pStyle w:val="NoSpacing"/>
              <w:rPr>
                <w14:ligatures w14:val="none"/>
              </w:rPr>
            </w:pPr>
            <w:r w:rsidRPr="00B80677">
              <w:rPr>
                <w14:ligatures w14:val="none"/>
              </w:rPr>
              <w:t>Yes</w:t>
            </w:r>
          </w:p>
        </w:tc>
      </w:tr>
      <w:tr w:rsidR="00B80677" w:rsidRPr="00B80677" w14:paraId="3FCD5B09"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BB4FABE" w14:textId="77777777" w:rsidR="00B80677" w:rsidRPr="00B80677" w:rsidRDefault="00B80677" w:rsidP="00B80677">
            <w:pPr>
              <w:pStyle w:val="NoSpacing"/>
              <w:rPr>
                <w14:ligatures w14:val="none"/>
              </w:rPr>
            </w:pPr>
            <w:r w:rsidRPr="00B80677">
              <w:rPr>
                <w14:ligatures w14:val="none"/>
              </w:rPr>
              <w:t>Is this account ready to be closed?</w:t>
            </w:r>
          </w:p>
        </w:tc>
        <w:tc>
          <w:tcPr>
            <w:tcW w:w="5670" w:type="dxa"/>
            <w:tcBorders>
              <w:top w:val="nil"/>
              <w:left w:val="nil"/>
              <w:bottom w:val="nil"/>
              <w:right w:val="nil"/>
            </w:tcBorders>
          </w:tcPr>
          <w:p w14:paraId="49042A08" w14:textId="77777777" w:rsidR="00B80677" w:rsidRPr="00B80677" w:rsidRDefault="00B80677" w:rsidP="00B80677">
            <w:pPr>
              <w:pStyle w:val="NoSpacing"/>
              <w:rPr>
                <w14:ligatures w14:val="none"/>
              </w:rPr>
            </w:pPr>
            <w:r w:rsidRPr="00B80677">
              <w:rPr>
                <w14:ligatures w14:val="none"/>
              </w:rPr>
              <w:t>Yes</w:t>
            </w:r>
          </w:p>
        </w:tc>
      </w:tr>
      <w:tr w:rsidR="00B80677" w:rsidRPr="00B80677" w14:paraId="73055E95"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42A31D9" w14:textId="77777777" w:rsidR="00B80677" w:rsidRPr="00B80677" w:rsidRDefault="00B80677" w:rsidP="00B80677">
            <w:pPr>
              <w:pStyle w:val="NoSpacing"/>
              <w:rPr>
                <w14:ligatures w14:val="none"/>
              </w:rPr>
            </w:pPr>
            <w:r w:rsidRPr="00B80677">
              <w:rPr>
                <w14:ligatures w14:val="none"/>
              </w:rPr>
              <w:t>Amount Awarded</w:t>
            </w:r>
          </w:p>
        </w:tc>
        <w:tc>
          <w:tcPr>
            <w:tcW w:w="5670" w:type="dxa"/>
            <w:tcBorders>
              <w:top w:val="nil"/>
              <w:left w:val="nil"/>
              <w:bottom w:val="nil"/>
              <w:right w:val="nil"/>
            </w:tcBorders>
          </w:tcPr>
          <w:p w14:paraId="21C739E9" w14:textId="77777777" w:rsidR="00B80677" w:rsidRPr="00B80677" w:rsidRDefault="00B80677" w:rsidP="00B80677">
            <w:pPr>
              <w:pStyle w:val="NoSpacing"/>
              <w:rPr>
                <w14:ligatures w14:val="none"/>
              </w:rPr>
            </w:pPr>
            <w:r w:rsidRPr="00B80677">
              <w:rPr>
                <w14:ligatures w14:val="none"/>
              </w:rPr>
              <w:t>$8,993.00</w:t>
            </w:r>
          </w:p>
        </w:tc>
      </w:tr>
      <w:tr w:rsidR="00B80677" w:rsidRPr="00B80677" w14:paraId="2D63E21A"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00A6A26" w14:textId="77777777" w:rsidR="00B80677" w:rsidRPr="00B80677" w:rsidRDefault="00B80677" w:rsidP="00B80677">
            <w:pPr>
              <w:pStyle w:val="NoSpacing"/>
              <w:rPr>
                <w14:ligatures w14:val="none"/>
              </w:rPr>
            </w:pPr>
            <w:r w:rsidRPr="00B80677">
              <w:rPr>
                <w14:ligatures w14:val="none"/>
              </w:rPr>
              <w:t>Amount Spent</w:t>
            </w:r>
          </w:p>
        </w:tc>
        <w:tc>
          <w:tcPr>
            <w:tcW w:w="5670" w:type="dxa"/>
            <w:tcBorders>
              <w:top w:val="nil"/>
              <w:left w:val="nil"/>
              <w:bottom w:val="nil"/>
              <w:right w:val="nil"/>
            </w:tcBorders>
          </w:tcPr>
          <w:p w14:paraId="1A96FC90" w14:textId="77777777" w:rsidR="00B80677" w:rsidRPr="00B80677" w:rsidRDefault="00B80677" w:rsidP="00B80677">
            <w:pPr>
              <w:pStyle w:val="NoSpacing"/>
              <w:rPr>
                <w14:ligatures w14:val="none"/>
              </w:rPr>
            </w:pPr>
            <w:r w:rsidRPr="00B80677">
              <w:rPr>
                <w14:ligatures w14:val="none"/>
              </w:rPr>
              <w:t>$8,975.20</w:t>
            </w:r>
          </w:p>
        </w:tc>
      </w:tr>
      <w:tr w:rsidR="00B80677" w:rsidRPr="00B80677" w14:paraId="34040546"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BE5C55A" w14:textId="77777777" w:rsidR="00B80677" w:rsidRPr="00B80677" w:rsidRDefault="00B80677" w:rsidP="00B80677">
            <w:pPr>
              <w:pStyle w:val="NoSpacing"/>
              <w:rPr>
                <w14:ligatures w14:val="none"/>
              </w:rPr>
            </w:pPr>
            <w:r w:rsidRPr="00B80677">
              <w:rPr>
                <w14:ligatures w14:val="none"/>
              </w:rPr>
              <w:t>Equipment</w:t>
            </w:r>
          </w:p>
        </w:tc>
        <w:tc>
          <w:tcPr>
            <w:tcW w:w="5670" w:type="dxa"/>
            <w:tcBorders>
              <w:top w:val="nil"/>
              <w:left w:val="nil"/>
              <w:bottom w:val="nil"/>
              <w:right w:val="nil"/>
            </w:tcBorders>
          </w:tcPr>
          <w:p w14:paraId="68D0F997" w14:textId="77777777" w:rsidR="00B80677" w:rsidRPr="00B80677" w:rsidRDefault="00B80677" w:rsidP="00B80677">
            <w:pPr>
              <w:pStyle w:val="NoSpacing"/>
              <w:rPr>
                <w14:ligatures w14:val="none"/>
              </w:rPr>
            </w:pPr>
            <w:proofErr w:type="spellStart"/>
            <w:r w:rsidRPr="00B80677">
              <w:rPr>
                <w14:ligatures w14:val="none"/>
              </w:rPr>
              <w:t>IsoMet</w:t>
            </w:r>
            <w:proofErr w:type="spellEnd"/>
            <w:r w:rsidRPr="00B80677">
              <w:rPr>
                <w14:ligatures w14:val="none"/>
              </w:rPr>
              <w:t xml:space="preserve"> Low Speed Gravity-fed Precision Sectioning Machine used for sectioning otoliths for age and growth research in fisheries science. </w:t>
            </w:r>
          </w:p>
        </w:tc>
      </w:tr>
      <w:tr w:rsidR="00B80677" w:rsidRPr="00B80677" w14:paraId="0B14347A"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94B2C18" w14:textId="77777777" w:rsidR="00B80677" w:rsidRPr="00B80677" w:rsidRDefault="00B80677" w:rsidP="00B80677">
            <w:pPr>
              <w:pStyle w:val="NoSpacing"/>
              <w:rPr>
                <w14:ligatures w14:val="none"/>
              </w:rPr>
            </w:pPr>
            <w:r w:rsidRPr="00B80677">
              <w:rPr>
                <w14:ligatures w14:val="none"/>
              </w:rPr>
              <w:t>Purpose</w:t>
            </w:r>
          </w:p>
        </w:tc>
        <w:tc>
          <w:tcPr>
            <w:tcW w:w="5670" w:type="dxa"/>
            <w:tcBorders>
              <w:top w:val="nil"/>
              <w:left w:val="nil"/>
              <w:bottom w:val="nil"/>
              <w:right w:val="nil"/>
            </w:tcBorders>
          </w:tcPr>
          <w:p w14:paraId="73E74A24" w14:textId="77777777" w:rsidR="00B80677" w:rsidRPr="00B80677" w:rsidRDefault="00B80677" w:rsidP="00B80677">
            <w:pPr>
              <w:pStyle w:val="NoSpacing"/>
              <w:rPr>
                <w14:ligatures w14:val="none"/>
              </w:rPr>
            </w:pPr>
            <w:r w:rsidRPr="00B80677">
              <w:rPr>
                <w14:ligatures w14:val="none"/>
              </w:rPr>
              <w:t>•</w:t>
            </w:r>
            <w:r w:rsidRPr="00B80677">
              <w:rPr>
                <w14:ligatures w14:val="none"/>
              </w:rPr>
              <w:tab/>
              <w:t xml:space="preserve">To aid in the instruction of otolith processing for age and growth analysis for undergraduate students interested in careers in the fisheries profession </w:t>
            </w:r>
            <w:r w:rsidRPr="00B80677">
              <w:rPr>
                <w14:ligatures w14:val="none"/>
              </w:rPr>
              <w:br/>
            </w:r>
            <w:r w:rsidRPr="00B80677">
              <w:rPr>
                <w14:ligatures w14:val="none"/>
              </w:rPr>
              <w:br/>
              <w:t>•</w:t>
            </w:r>
            <w:r w:rsidRPr="00B80677">
              <w:rPr>
                <w14:ligatures w14:val="none"/>
              </w:rPr>
              <w:tab/>
              <w:t>To aid in the process of multiple graduate students thesis and dissertation work</w:t>
            </w:r>
            <w:r w:rsidRPr="00B80677">
              <w:rPr>
                <w14:ligatures w14:val="none"/>
              </w:rPr>
              <w:br/>
            </w:r>
            <w:r w:rsidRPr="00B80677">
              <w:rPr>
                <w14:ligatures w14:val="none"/>
              </w:rPr>
              <w:br/>
              <w:t>•</w:t>
            </w:r>
            <w:r w:rsidRPr="00B80677">
              <w:rPr>
                <w14:ligatures w14:val="none"/>
              </w:rPr>
              <w:tab/>
              <w:t xml:space="preserve">To teach undergraduate student workers how to process, clean, and use lab space and equipment </w:t>
            </w:r>
            <w:r w:rsidRPr="00B80677">
              <w:rPr>
                <w14:ligatures w14:val="none"/>
              </w:rPr>
              <w:br/>
            </w:r>
            <w:r w:rsidRPr="00B80677">
              <w:rPr>
                <w14:ligatures w14:val="none"/>
              </w:rPr>
              <w:br/>
              <w:t>•</w:t>
            </w:r>
            <w:r w:rsidRPr="00B80677">
              <w:rPr>
                <w14:ligatures w14:val="none"/>
              </w:rPr>
              <w:tab/>
              <w:t xml:space="preserve">To aid in teaching graduate students age and growth techniques in a fisheries stock assessment course </w:t>
            </w:r>
            <w:r w:rsidRPr="00B80677">
              <w:rPr>
                <w14:ligatures w14:val="none"/>
              </w:rPr>
              <w:br/>
            </w:r>
            <w:r w:rsidRPr="00B80677">
              <w:rPr>
                <w14:ligatures w14:val="none"/>
              </w:rPr>
              <w:br/>
            </w:r>
            <w:r w:rsidRPr="00B80677">
              <w:rPr>
                <w14:ligatures w14:val="none"/>
              </w:rPr>
              <w:br/>
            </w:r>
            <w:r w:rsidRPr="00B80677">
              <w:rPr>
                <w14:ligatures w14:val="none"/>
              </w:rPr>
              <w:br/>
              <w:t xml:space="preserve">The primary purpose of this funding was to enhance student engagement and skill-building in fisheries science through the purchase of a low-speed otolith saw. The saw plays a critical role in age and growth analysis, which is foundational in understanding fish </w:t>
            </w:r>
            <w:r w:rsidRPr="00B80677">
              <w:rPr>
                <w14:ligatures w14:val="none"/>
              </w:rPr>
              <w:lastRenderedPageBreak/>
              <w:t>population dynamics and informing stock assessments. With this equipment, undergraduate students were able to receive hands-on instruction in otolith processing, an experience typically reserved for more advanced research or agency settings. The saw has been integrated into coursework and lab-based instruction, providing a platform to teach the technical steps of sectioning, mounting, and aging otoliths, while also introducing students to the broader implications of these data for fisheries management.</w:t>
            </w:r>
            <w:r w:rsidRPr="00B80677">
              <w:rPr>
                <w14:ligatures w14:val="none"/>
              </w:rPr>
              <w:br/>
            </w:r>
            <w:r w:rsidRPr="00B80677">
              <w:rPr>
                <w14:ligatures w14:val="none"/>
              </w:rPr>
              <w:br/>
            </w:r>
            <w:r w:rsidRPr="00B80677">
              <w:rPr>
                <w14:ligatures w14:val="none"/>
              </w:rPr>
              <w:br/>
            </w:r>
            <w:r w:rsidRPr="00B80677">
              <w:rPr>
                <w14:ligatures w14:val="none"/>
              </w:rPr>
              <w:br/>
              <w:t>Beyond technical instruction, the saw also serves as a training tool for teaching students how to maintain and responsibly use shared lab equipment. Undergraduate workers were taught how to properly clean and care for the saw, how to organize processing materials, and how to follow protocols for working in a shared laboratory space. These lessons promote values of accountability, professionalism, and respect for research tools which are all elements of effective lab maintenance. In graduate-level instruction, the saw was used in a fisheries stock assessment course to demonstrate aging techniques and support course projects, allowing students to directly link biological sampling with model inputs and fishery management outcomes. The equipment also plays a role in ongoing thesis and dissertation research across three different research labs at the university, further extending its utility beyond the classroom.</w:t>
            </w:r>
            <w:r w:rsidRPr="00B80677">
              <w:rPr>
                <w14:ligatures w14:val="none"/>
              </w:rPr>
              <w:br/>
            </w:r>
            <w:r w:rsidRPr="00B80677">
              <w:rPr>
                <w14:ligatures w14:val="none"/>
              </w:rPr>
              <w:br/>
            </w:r>
          </w:p>
        </w:tc>
      </w:tr>
      <w:tr w:rsidR="00B80677" w:rsidRPr="00B80677" w14:paraId="49C83D1D"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12DE74B" w14:textId="77777777" w:rsidR="00B80677" w:rsidRPr="00B80677" w:rsidRDefault="00B80677" w:rsidP="00B80677">
            <w:pPr>
              <w:pStyle w:val="NoSpacing"/>
              <w:rPr>
                <w14:ligatures w14:val="none"/>
              </w:rPr>
            </w:pPr>
            <w:r w:rsidRPr="00B80677">
              <w:rPr>
                <w14:ligatures w14:val="none"/>
              </w:rPr>
              <w:lastRenderedPageBreak/>
              <w:t>Benefits Demographics</w:t>
            </w:r>
          </w:p>
        </w:tc>
        <w:tc>
          <w:tcPr>
            <w:tcW w:w="5670" w:type="dxa"/>
            <w:tcBorders>
              <w:top w:val="nil"/>
              <w:left w:val="nil"/>
              <w:bottom w:val="nil"/>
              <w:right w:val="nil"/>
            </w:tcBorders>
          </w:tcPr>
          <w:p w14:paraId="790ED9D8" w14:textId="77777777" w:rsidR="00B80677" w:rsidRPr="00B80677" w:rsidRDefault="00B80677" w:rsidP="00B80677">
            <w:pPr>
              <w:pStyle w:val="NoSpacing"/>
              <w:rPr>
                <w14:ligatures w14:val="none"/>
              </w:rPr>
            </w:pPr>
            <w:r w:rsidRPr="00B80677">
              <w:rPr>
                <w14:ligatures w14:val="none"/>
              </w:rPr>
              <w:t>•</w:t>
            </w:r>
            <w:r w:rsidRPr="00B80677">
              <w:rPr>
                <w14:ligatures w14:val="none"/>
              </w:rPr>
              <w:tab/>
              <w:t xml:space="preserve">Graduate students from three different labs on campus </w:t>
            </w:r>
            <w:r w:rsidRPr="00B80677">
              <w:rPr>
                <w14:ligatures w14:val="none"/>
              </w:rPr>
              <w:br/>
            </w:r>
            <w:r w:rsidRPr="00B80677">
              <w:rPr>
                <w14:ligatures w14:val="none"/>
              </w:rPr>
              <w:br/>
              <w:t>•</w:t>
            </w:r>
            <w:r w:rsidRPr="00B80677">
              <w:rPr>
                <w14:ligatures w14:val="none"/>
              </w:rPr>
              <w:tab/>
              <w:t xml:space="preserve">Graduate students in a graduate fisheries class </w:t>
            </w:r>
            <w:r w:rsidRPr="00B80677">
              <w:rPr>
                <w14:ligatures w14:val="none"/>
              </w:rPr>
              <w:br/>
            </w:r>
            <w:r w:rsidRPr="00B80677">
              <w:rPr>
                <w14:ligatures w14:val="none"/>
              </w:rPr>
              <w:br/>
              <w:t>•</w:t>
            </w:r>
            <w:r w:rsidRPr="00B80677">
              <w:rPr>
                <w14:ligatures w14:val="none"/>
              </w:rPr>
              <w:tab/>
              <w:t xml:space="preserve">Undergraduate students from two different labs in two departments </w:t>
            </w:r>
            <w:r w:rsidRPr="00B80677">
              <w:rPr>
                <w14:ligatures w14:val="none"/>
              </w:rPr>
              <w:br/>
            </w:r>
            <w:r w:rsidRPr="00B80677">
              <w:rPr>
                <w14:ligatures w14:val="none"/>
              </w:rPr>
              <w:br/>
            </w:r>
            <w:r w:rsidRPr="00B80677">
              <w:rPr>
                <w14:ligatures w14:val="none"/>
              </w:rPr>
              <w:br/>
            </w:r>
            <w:r w:rsidRPr="00B80677">
              <w:rPr>
                <w14:ligatures w14:val="none"/>
              </w:rPr>
              <w:br/>
              <w:t xml:space="preserve">The impact of the funds used to purchase the saw extends across multiple levels of the student body including undergraduate and graduate students from different disciplines across campus. Graduate </w:t>
            </w:r>
            <w:r w:rsidRPr="00B80677">
              <w:rPr>
                <w14:ligatures w14:val="none"/>
              </w:rPr>
              <w:lastRenderedPageBreak/>
              <w:t>students from three different labs across multiple disciplines have used the saw to process samples for their thesis and dissertation work. These students rely on accurate age data to describe life history patterns, model population dynamics, or support agency collaborations. The inclusion of the saw in a graduate fisheries course has expanded its reach even further, giving students from multiple labs hands-on access to a tool they're likely to encounter in future academic or professional settings.</w:t>
            </w:r>
            <w:r w:rsidRPr="00B80677">
              <w:rPr>
                <w14:ligatures w14:val="none"/>
              </w:rPr>
              <w:br/>
            </w:r>
            <w:r w:rsidRPr="00B80677">
              <w:rPr>
                <w14:ligatures w14:val="none"/>
              </w:rPr>
              <w:br/>
              <w:t>Undergraduate students from two separate departments have also benefited through instruction and employment in the lab where the saw is being used. These students have not only gained exposure to fisheries techniques but have also taken on roles that emphasize responsibility and professional development in a research environment. The interdisciplinary and cross-departmental use of the saw demonstrates its value as a shared resource that fosters collaboration and continuity in fisheries training. As it continues to be incorporated into coursework and research activities, the otolith saw will remain an important educational tool that supports student development at multiple academic levels.</w:t>
            </w:r>
            <w:r w:rsidRPr="00B80677">
              <w:rPr>
                <w14:ligatures w14:val="none"/>
              </w:rPr>
              <w:br/>
            </w:r>
            <w:r w:rsidRPr="00B80677">
              <w:rPr>
                <w14:ligatures w14:val="none"/>
              </w:rPr>
              <w:br/>
            </w:r>
          </w:p>
        </w:tc>
      </w:tr>
      <w:tr w:rsidR="00B80677" w:rsidRPr="00B80677" w14:paraId="640E8166"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1DD4EF0" w14:textId="77777777" w:rsidR="00B80677" w:rsidRPr="00B80677" w:rsidRDefault="00B80677" w:rsidP="00B80677">
            <w:pPr>
              <w:pStyle w:val="NoSpacing"/>
              <w:rPr>
                <w14:ligatures w14:val="none"/>
              </w:rPr>
            </w:pPr>
            <w:r w:rsidRPr="00B80677">
              <w:rPr>
                <w14:ligatures w14:val="none"/>
              </w:rPr>
              <w:lastRenderedPageBreak/>
              <w:t>Comments</w:t>
            </w:r>
          </w:p>
        </w:tc>
        <w:tc>
          <w:tcPr>
            <w:tcW w:w="5670" w:type="dxa"/>
            <w:tcBorders>
              <w:top w:val="nil"/>
              <w:left w:val="nil"/>
              <w:bottom w:val="nil"/>
              <w:right w:val="nil"/>
            </w:tcBorders>
          </w:tcPr>
          <w:p w14:paraId="422A1904" w14:textId="77777777" w:rsidR="00B80677" w:rsidRPr="00B80677" w:rsidRDefault="00B80677" w:rsidP="00B80677">
            <w:pPr>
              <w:pStyle w:val="NoSpacing"/>
              <w:rPr>
                <w14:ligatures w14:val="none"/>
              </w:rPr>
            </w:pPr>
            <w:r w:rsidRPr="00B80677">
              <w:rPr>
                <w14:ligatures w14:val="none"/>
              </w:rPr>
              <w:t>We really appreciate this funding opportunity!</w:t>
            </w:r>
          </w:p>
        </w:tc>
      </w:tr>
    </w:tbl>
    <w:p w14:paraId="1B8702D2" w14:textId="77777777" w:rsidR="00B80677" w:rsidRPr="00B80677" w:rsidRDefault="00B80677" w:rsidP="00B80677">
      <w:pPr>
        <w:pStyle w:val="NoSpacing"/>
        <w:rPr>
          <w14:ligatures w14:val="none"/>
        </w:rPr>
      </w:pPr>
    </w:p>
    <w:p w14:paraId="3F40F829" w14:textId="77777777" w:rsidR="00B80677" w:rsidRPr="00B80677" w:rsidRDefault="00B80677" w:rsidP="00B80677">
      <w:pPr>
        <w:pStyle w:val="NoSpacing"/>
        <w:rPr>
          <w14:ligatures w14:val="none"/>
        </w:rPr>
      </w:pPr>
    </w:p>
    <w:sectPr w:rsidR="00B80677" w:rsidRPr="00B80677">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677"/>
    <w:rsid w:val="00A40DC0"/>
    <w:rsid w:val="00B80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9A8898"/>
  <w14:defaultImageDpi w14:val="0"/>
  <w15:docId w15:val="{6B89C80F-00BC-482D-83B9-9D14C2076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0677"/>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627</Words>
  <Characters>3716</Characters>
  <Application>Microsoft Office Word</Application>
  <DocSecurity>0</DocSecurity>
  <Lines>137</Lines>
  <Paragraphs>35</Paragraphs>
  <ScaleCrop>false</ScaleCrop>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2025-11-11T22:19:00Z</dcterms:created>
  <dcterms:modified xsi:type="dcterms:W3CDTF">2025-11-11T22:19:00Z</dcterms:modified>
</cp:coreProperties>
</file>